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CA9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sz w:val="32"/>
          <w:szCs w:val="32"/>
        </w:rPr>
        <w:t xml:space="preserve">ACADEMIA DE STUDII ECONOMICE DIN BUCUREŞTI </w:t>
      </w:r>
    </w:p>
    <w:p w14:paraId="41C07B72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Școala Doctorală Economie și Afaceri Internaționale</w:t>
      </w:r>
    </w:p>
    <w:p w14:paraId="104CAC45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Cambria" w:hAnsi="Cambria"/>
          <w:noProof/>
          <w:color w:val="004A74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5C4F150" wp14:editId="6F6A2FE6">
            <wp:simplePos x="0" y="0"/>
            <wp:positionH relativeFrom="margin">
              <wp:posOffset>2233237</wp:posOffset>
            </wp:positionH>
            <wp:positionV relativeFrom="margin">
              <wp:posOffset>745664</wp:posOffset>
            </wp:positionV>
            <wp:extent cx="1463040" cy="996950"/>
            <wp:effectExtent l="0" t="0" r="0" b="6350"/>
            <wp:wrapSquare wrapText="bothSides"/>
            <wp:docPr id="1733251869" name="Picture 4" descr="A blue logo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51869" name="Picture 4" descr="A blue logo with wing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97D19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C12477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A0B0C9" w14:textId="77777777" w:rsidR="00BD2DF7" w:rsidRPr="00B951BF" w:rsidRDefault="00BD2DF7" w:rsidP="00BD2DF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AAFAC5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951BF">
        <w:rPr>
          <w:rFonts w:ascii="Times New Roman" w:hAnsi="Times New Roman" w:cs="Times New Roman"/>
          <w:b/>
          <w:bCs/>
          <w:sz w:val="48"/>
          <w:szCs w:val="48"/>
        </w:rPr>
        <w:t>TEZĂ DE DOCTORAT</w:t>
      </w:r>
    </w:p>
    <w:p w14:paraId="2C6312B0" w14:textId="77777777" w:rsidR="00BD2DF7" w:rsidRPr="00B951BF" w:rsidRDefault="00BD2DF7" w:rsidP="00BD2D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Prezentată și susținută public de către autor:</w:t>
      </w:r>
    </w:p>
    <w:p w14:paraId="6FD0A979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sz w:val="32"/>
          <w:szCs w:val="32"/>
        </w:rPr>
        <w:t>CHIȚU N. FLORENTINA</w:t>
      </w:r>
    </w:p>
    <w:p w14:paraId="3302885C" w14:textId="77777777" w:rsidR="00BD2DF7" w:rsidRPr="00B951BF" w:rsidRDefault="00BD2DF7" w:rsidP="00BD2D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5FF93" w14:textId="77777777" w:rsidR="00BD2DF7" w:rsidRPr="00B951BF" w:rsidRDefault="00BD2DF7" w:rsidP="00BD2D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Titlul tezei de doctorat:</w:t>
      </w:r>
    </w:p>
    <w:p w14:paraId="499A6F30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BINOMUL ENERGIE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951BF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951BF">
        <w:rPr>
          <w:rFonts w:ascii="Times New Roman" w:hAnsi="Times New Roman" w:cs="Times New Roman"/>
          <w:sz w:val="32"/>
          <w:szCs w:val="32"/>
        </w:rPr>
        <w:t>SCHIMBĂRI CLIMATICE ȘI TRANZIȚIA SPRE SURSELE REGENERABILE DE ENERGIE LA NIVELUL UNIUNII EUROPENE</w:t>
      </w:r>
    </w:p>
    <w:p w14:paraId="44A8548A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C00349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Conducător de doctorat: Prof. univ. dr. Gheorghe HURDUZEU</w:t>
      </w:r>
    </w:p>
    <w:p w14:paraId="494AB021" w14:textId="77777777" w:rsidR="00BD2DF7" w:rsidRPr="00B951BF" w:rsidRDefault="00BD2DF7" w:rsidP="00BD2D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153CD0F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16EEA7F2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5CADAD2E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0DD99561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6F4471A4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3F654379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2ADA5E1D" w14:textId="77777777" w:rsidR="00BD2DF7" w:rsidRDefault="00BD2DF7" w:rsidP="00BD2DF7">
      <w:pPr>
        <w:jc w:val="center"/>
        <w:rPr>
          <w:rFonts w:ascii="Times New Roman" w:hAnsi="Times New Roman" w:cs="Times New Roman"/>
        </w:rPr>
      </w:pPr>
    </w:p>
    <w:p w14:paraId="16593A42" w14:textId="77777777" w:rsidR="00BD2DF7" w:rsidRPr="00B951BF" w:rsidRDefault="00BD2DF7" w:rsidP="00BD2DF7">
      <w:pPr>
        <w:jc w:val="center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 xml:space="preserve">București, </w:t>
      </w:r>
      <w:r>
        <w:rPr>
          <w:rFonts w:ascii="Times New Roman" w:hAnsi="Times New Roman" w:cs="Times New Roman"/>
        </w:rPr>
        <w:t>septembrie</w:t>
      </w:r>
      <w:r w:rsidRPr="00B951BF">
        <w:rPr>
          <w:rFonts w:ascii="Times New Roman" w:hAnsi="Times New Roman" w:cs="Times New Roman"/>
        </w:rPr>
        <w:t xml:space="preserve"> 2025</w:t>
      </w:r>
    </w:p>
    <w:p w14:paraId="781CA088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ACADEMIA DE STUDII ECONOMICE DIN BUCUREŞTI </w:t>
      </w:r>
    </w:p>
    <w:p w14:paraId="7D478833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sz w:val="32"/>
          <w:szCs w:val="32"/>
        </w:rPr>
        <w:t xml:space="preserve">Consiliul pentru Studii Universitare de Doctorat </w:t>
      </w:r>
    </w:p>
    <w:p w14:paraId="3C41040A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i/>
          <w:sz w:val="32"/>
          <w:szCs w:val="32"/>
        </w:rPr>
        <w:t>Școala</w:t>
      </w:r>
      <w:r w:rsidRPr="00B951BF">
        <w:rPr>
          <w:rFonts w:ascii="Times New Roman" w:hAnsi="Times New Roman" w:cs="Times New Roman"/>
          <w:b/>
          <w:bCs/>
          <w:i/>
          <w:spacing w:val="-3"/>
          <w:sz w:val="32"/>
          <w:szCs w:val="32"/>
        </w:rPr>
        <w:t xml:space="preserve"> </w:t>
      </w:r>
      <w:r w:rsidRPr="00B951BF">
        <w:rPr>
          <w:rFonts w:ascii="Times New Roman" w:hAnsi="Times New Roman" w:cs="Times New Roman"/>
          <w:b/>
          <w:bCs/>
          <w:i/>
          <w:sz w:val="32"/>
          <w:szCs w:val="32"/>
        </w:rPr>
        <w:t>Doctorală Economie și Afaceri Internaționale</w:t>
      </w:r>
    </w:p>
    <w:p w14:paraId="2544C2AF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D7F40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7A5A0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9A9C3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29859" w14:textId="77777777" w:rsidR="00BD2DF7" w:rsidRPr="00B951BF" w:rsidRDefault="00BD2DF7" w:rsidP="00BD2DF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CAB6793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1BF">
        <w:rPr>
          <w:rFonts w:ascii="Times New Roman" w:hAnsi="Times New Roman" w:cs="Times New Roman"/>
          <w:b/>
          <w:bCs/>
          <w:sz w:val="32"/>
          <w:szCs w:val="32"/>
        </w:rPr>
        <w:t>BINOMUL ENERGIE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951BF"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951BF">
        <w:rPr>
          <w:rFonts w:ascii="Times New Roman" w:hAnsi="Times New Roman" w:cs="Times New Roman"/>
          <w:b/>
          <w:bCs/>
          <w:sz w:val="32"/>
          <w:szCs w:val="32"/>
        </w:rPr>
        <w:t>SCHIMBĂRI CLIMATICE ȘI TRANZIȚIA SPRE SURSELE REGENERABILE DE ENERGIE LA NIVELUL UNIUNII EUROPENE</w:t>
      </w:r>
    </w:p>
    <w:p w14:paraId="26B132B1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F2844B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CA22D6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1BF">
        <w:rPr>
          <w:rFonts w:ascii="Times New Roman" w:hAnsi="Times New Roman" w:cs="Times New Roman"/>
          <w:sz w:val="32"/>
          <w:szCs w:val="32"/>
        </w:rPr>
        <w:t xml:space="preserve">Autor: </w:t>
      </w:r>
      <w:r w:rsidRPr="00B951BF">
        <w:rPr>
          <w:rFonts w:ascii="Times New Roman" w:hAnsi="Times New Roman" w:cs="Times New Roman"/>
          <w:b/>
          <w:bCs/>
          <w:sz w:val="28"/>
          <w:szCs w:val="28"/>
        </w:rPr>
        <w:t>CHIȚU N. FLORENTINA</w:t>
      </w:r>
    </w:p>
    <w:p w14:paraId="75A753AA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419E7D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1BF">
        <w:rPr>
          <w:rFonts w:ascii="Times New Roman" w:hAnsi="Times New Roman" w:cs="Times New Roman"/>
          <w:sz w:val="32"/>
          <w:szCs w:val="32"/>
        </w:rPr>
        <w:t>Conducător de doctorat: Prof. univ. dr. Gheorghe HURDUZEU</w:t>
      </w:r>
    </w:p>
    <w:p w14:paraId="0369F350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AFEE5B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5800D5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24DB3F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FBE0FF" w14:textId="77777777" w:rsidR="00BD2DF7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B9F535" w14:textId="77777777" w:rsidR="00BD2DF7" w:rsidRPr="00B951BF" w:rsidRDefault="00BD2DF7" w:rsidP="00BD2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F4B753" w14:textId="7893EF55" w:rsidR="000746D7" w:rsidRPr="00B81FF9" w:rsidRDefault="00BD2DF7" w:rsidP="00B81FF9">
      <w:pPr>
        <w:jc w:val="center"/>
        <w:rPr>
          <w:rFonts w:ascii="Times New Roman" w:hAnsi="Times New Roman" w:cs="Times New Roman"/>
          <w:b/>
          <w:bCs/>
        </w:rPr>
      </w:pPr>
      <w:r w:rsidRPr="00B951BF">
        <w:rPr>
          <w:rFonts w:ascii="Times New Roman" w:hAnsi="Times New Roman" w:cs="Times New Roman"/>
          <w:b/>
          <w:bCs/>
        </w:rPr>
        <w:t>București, 2025</w:t>
      </w:r>
    </w:p>
    <w:p w14:paraId="1A26A850" w14:textId="77777777" w:rsidR="00B81FF9" w:rsidRDefault="00B81FF9" w:rsidP="000746D7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A8B74A7" w14:textId="6E785A21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CUPRINS</w:t>
      </w:r>
    </w:p>
    <w:p w14:paraId="03072448" w14:textId="043569FB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Introducere</w:t>
      </w:r>
    </w:p>
    <w:p w14:paraId="44078A10" w14:textId="102F815A" w:rsidR="000746D7" w:rsidRPr="000746D7" w:rsidRDefault="000746D7" w:rsidP="00B253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Capitolul I. Analiza stadiului de cunoaștere în domeniu</w:t>
      </w: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ab/>
      </w:r>
    </w:p>
    <w:p w14:paraId="70487296" w14:textId="098211E5" w:rsidR="000746D7" w:rsidRPr="000746D7" w:rsidRDefault="000746D7" w:rsidP="00B2537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1.1.Scopul și obiectivele cercetării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2660CF1E" w14:textId="23D26F89" w:rsidR="000746D7" w:rsidRPr="000746D7" w:rsidRDefault="000746D7" w:rsidP="00B2537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1.2. Reflectarea în literatura de specialitate a celor mai acute provocări climatice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6AF677A8" w14:textId="33E2C3DE" w:rsidR="000746D7" w:rsidRPr="000746D7" w:rsidRDefault="000746D7" w:rsidP="00B2537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1.3. Valențe și limite la nivelul binomului schimbări climatice - dependența de sursele de energie regenerabile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57DEF292" w14:textId="2737F8B9" w:rsidR="000746D7" w:rsidRPr="000746D7" w:rsidRDefault="000746D7" w:rsidP="00B25377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1.4. Importanța tranziției spre sursele regenerabile de energie în Uniunea Europeană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</w:r>
      <w:r w:rsidRPr="000746D7">
        <w:rPr>
          <w:rFonts w:ascii="Times New Roman" w:hAnsi="Times New Roman" w:cs="Times New Roman"/>
          <w:lang w:val="ro-RO"/>
        </w:rPr>
        <w:t>1.4.1. Tranziția energetică – între deziderat și stare de fapt</w:t>
      </w:r>
    </w:p>
    <w:p w14:paraId="1F0CA7F4" w14:textId="73D951E6" w:rsidR="000746D7" w:rsidRPr="000746D7" w:rsidRDefault="000746D7" w:rsidP="00B2537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1.4.2. Principalele surse de energie regenerabilă</w:t>
      </w:r>
      <w:r w:rsidRPr="000746D7">
        <w:rPr>
          <w:rFonts w:ascii="Times New Roman" w:hAnsi="Times New Roman" w:cs="Times New Roman"/>
          <w:lang w:val="ro-RO"/>
        </w:rPr>
        <w:tab/>
      </w:r>
    </w:p>
    <w:p w14:paraId="4393F81C" w14:textId="587B9251" w:rsidR="000746D7" w:rsidRPr="000746D7" w:rsidRDefault="000746D7" w:rsidP="00B2537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1.4.3. Utilizarea energiei regenerabile în context european</w:t>
      </w:r>
    </w:p>
    <w:p w14:paraId="1EA2140E" w14:textId="4BE4E8CC" w:rsidR="000746D7" w:rsidRPr="000746D7" w:rsidRDefault="000746D7" w:rsidP="00B253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Capitolul II. Analiza impactului schimbărilor climatice asupra economiei și societății</w:t>
      </w:r>
    </w:p>
    <w:p w14:paraId="4AE8144F" w14:textId="3899DE35" w:rsidR="000746D7" w:rsidRPr="000746D7" w:rsidRDefault="000746D7" w:rsidP="00B2537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2.1. Consecințele economice ale schimbărilor climatice în Uniunea Europeană</w:t>
      </w:r>
    </w:p>
    <w:p w14:paraId="445FEF85" w14:textId="3EF48652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2.2. Riscurile și vulnerabilitățile economice asociate schimbărilor climatice</w:t>
      </w:r>
    </w:p>
    <w:p w14:paraId="2F748C79" w14:textId="1A5EA1F4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2.3. Unele schimbări de paradigmă economică ale tranziției la energia produsă din resurse regenerabile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253DB88E" w14:textId="7B8ED532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2.4. Economie-energie – un binom complex și provocativ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4BDDD4B6" w14:textId="5F86F539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2.5. Parametrul energetic la nivelul noii ecuații a competitivității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18361BA4" w14:textId="263AFB10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2.6. Unele măsuri de stimulare a ocupării forței de muncă în sectorul energiilor regenerabile: Nevoia de competențe și formare profesională</w:t>
      </w:r>
    </w:p>
    <w:p w14:paraId="6ECF2E07" w14:textId="5F635046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Capitolul III. Analiza impactului generat de progresele înregistrate în planul cadrului legislativ european privitor la energia verde</w:t>
      </w:r>
    </w:p>
    <w:p w14:paraId="1D25BF60" w14:textId="52D898F8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3.1. Uniunea Europeană - promotor activ la nivel global al obiectivului strategic de reducere a emisiilor de gaze cu efect de seră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4C2B90E1" w14:textId="43A80F8F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3.2. Implicarea viitoare a Uniunii Europene în procesele de îndeplinire a obiectivelor adoptate la nivel multilaterale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3E61DAC2" w14:textId="71B992DB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3.3. Analiza principalelor fundamente ale programelor strategice și a măsurilor de contracarare a mega - crizelor cu care se confruntă și economia europeană</w:t>
      </w:r>
    </w:p>
    <w:p w14:paraId="4B122835" w14:textId="25C8906E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3.4. Mecanisme de sprijin și stimulente financiare pentru energiile regenerabile</w:t>
      </w:r>
    </w:p>
    <w:p w14:paraId="129D4A08" w14:textId="76F55511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3.5. Plasarea României la confluența cu cele mai presante efecte ale schimbărilor climatice</w:t>
      </w:r>
    </w:p>
    <w:p w14:paraId="372DC10A" w14:textId="4B4CD5FE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lastRenderedPageBreak/>
        <w:t>Capitolul IV. Analiza comparativă a metodelor statistice pentru modelarea tranziției energetice în Uniunea Europeană și România</w:t>
      </w:r>
    </w:p>
    <w:p w14:paraId="715375F2" w14:textId="5044D92B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4.1. Analiza celor mai relevante dimensiuni ale evoluțiilor în plan energetic la nivelul Uniunii Europene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29E0B289" w14:textId="6E3B3340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4.1.1. Rezultate obținute prin apelarea la regresia liniară</w:t>
      </w:r>
    </w:p>
    <w:p w14:paraId="2C2E01B8" w14:textId="606D8E8C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4.1.2. Analiza de regresie liniară multiplă pentru UE</w:t>
      </w:r>
    </w:p>
    <w:p w14:paraId="7C04C269" w14:textId="44640BF9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4.1.3. Metoda ARIMAX</w:t>
      </w:r>
    </w:p>
    <w:p w14:paraId="5DA33CCA" w14:textId="5DB0FE4B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4.1.4. Metoda ARDL</w:t>
      </w:r>
      <w:r w:rsidRPr="000746D7">
        <w:rPr>
          <w:rFonts w:ascii="Times New Roman" w:hAnsi="Times New Roman" w:cs="Times New Roman"/>
          <w:lang w:val="ro-RO"/>
        </w:rPr>
        <w:tab/>
      </w:r>
    </w:p>
    <w:p w14:paraId="5A5FFAF5" w14:textId="7A0E22A4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4.2. Analiza la nivelul României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2F2B6039" w14:textId="658227C0" w:rsidR="000746D7" w:rsidRPr="000746D7" w:rsidRDefault="000746D7" w:rsidP="000746D7">
      <w:pPr>
        <w:spacing w:line="240" w:lineRule="auto"/>
        <w:ind w:left="144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4.2.1. Prezentarea rezultatelor regresiilor simple pentru România</w:t>
      </w:r>
    </w:p>
    <w:p w14:paraId="2E172EAB" w14:textId="2E30F179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4.2.2. Analiza de regresie liniară multiplă pentru baza de date privind România</w:t>
      </w:r>
    </w:p>
    <w:p w14:paraId="4A66264B" w14:textId="074887CB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4.2.3. Metoda ARIMAX pentru România</w:t>
      </w:r>
      <w:r w:rsidRPr="000746D7">
        <w:rPr>
          <w:rFonts w:ascii="Times New Roman" w:hAnsi="Times New Roman" w:cs="Times New Roman"/>
          <w:lang w:val="ro-RO"/>
        </w:rPr>
        <w:tab/>
      </w:r>
    </w:p>
    <w:p w14:paraId="4BD7F2B9" w14:textId="42F2040A" w:rsidR="000746D7" w:rsidRPr="000746D7" w:rsidRDefault="000746D7" w:rsidP="000746D7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 w:rsidRPr="000746D7">
        <w:rPr>
          <w:rFonts w:ascii="Times New Roman" w:hAnsi="Times New Roman" w:cs="Times New Roman"/>
          <w:lang w:val="ro-RO"/>
        </w:rPr>
        <w:t>4.2.4. Metoda ARDL pentru Romania</w:t>
      </w:r>
    </w:p>
    <w:p w14:paraId="36877721" w14:textId="6E1AD0BA" w:rsidR="000746D7" w:rsidRPr="000746D7" w:rsidRDefault="000746D7" w:rsidP="000746D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lang w:val="ro-RO"/>
        </w:rPr>
        <w:t>4.3. Concluziile analizelor cantitative efectuate</w:t>
      </w:r>
    </w:p>
    <w:p w14:paraId="05F1F140" w14:textId="15C6545A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Concluzii finale, propuneri și recomandări</w:t>
      </w: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ab/>
      </w:r>
    </w:p>
    <w:p w14:paraId="2DC0E9EF" w14:textId="749EC002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Referințe bibliografice</w:t>
      </w: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ab/>
      </w:r>
    </w:p>
    <w:p w14:paraId="5CDB4CD1" w14:textId="3366A07F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Lista abrevierilor și acronimelor</w:t>
      </w:r>
    </w:p>
    <w:p w14:paraId="641EC358" w14:textId="319E5CF5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Lista tabelelor</w:t>
      </w: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ab/>
      </w:r>
    </w:p>
    <w:p w14:paraId="0B38E382" w14:textId="032806ED" w:rsidR="000746D7" w:rsidRPr="000746D7" w:rsidRDefault="000746D7" w:rsidP="000746D7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0746D7">
        <w:rPr>
          <w:rFonts w:ascii="Times New Roman" w:hAnsi="Times New Roman" w:cs="Times New Roman"/>
          <w:b/>
          <w:bCs/>
          <w:i/>
          <w:iCs/>
          <w:lang w:val="ro-RO"/>
        </w:rPr>
        <w:t>Lista figurilor</w:t>
      </w:r>
      <w:r w:rsidRPr="000746D7">
        <w:rPr>
          <w:rFonts w:ascii="Times New Roman" w:hAnsi="Times New Roman" w:cs="Times New Roman"/>
          <w:b/>
          <w:bCs/>
          <w:lang w:val="ro-RO"/>
        </w:rPr>
        <w:tab/>
      </w:r>
    </w:p>
    <w:p w14:paraId="3FFDD8D9" w14:textId="77777777" w:rsidR="000746D7" w:rsidRPr="00C57BA2" w:rsidRDefault="000746D7" w:rsidP="00C57BA2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875006F" w14:textId="77777777" w:rsidR="000746D7" w:rsidRDefault="000746D7" w:rsidP="00C57BA2">
      <w:pPr>
        <w:spacing w:line="360" w:lineRule="auto"/>
        <w:jc w:val="both"/>
        <w:rPr>
          <w:noProof/>
        </w:rPr>
      </w:pPr>
    </w:p>
    <w:p w14:paraId="561D3652" w14:textId="77777777" w:rsidR="000746D7" w:rsidRDefault="000746D7" w:rsidP="00C57BA2">
      <w:pPr>
        <w:spacing w:line="360" w:lineRule="auto"/>
        <w:jc w:val="both"/>
        <w:rPr>
          <w:noProof/>
        </w:rPr>
      </w:pPr>
    </w:p>
    <w:p w14:paraId="2A428140" w14:textId="77777777" w:rsidR="000746D7" w:rsidRDefault="000746D7" w:rsidP="00C57BA2">
      <w:pPr>
        <w:spacing w:line="360" w:lineRule="auto"/>
        <w:jc w:val="both"/>
        <w:rPr>
          <w:noProof/>
        </w:rPr>
      </w:pPr>
    </w:p>
    <w:p w14:paraId="394EFCF4" w14:textId="77777777" w:rsidR="00B81FF9" w:rsidRDefault="00B81FF9" w:rsidP="00C57BA2">
      <w:pPr>
        <w:spacing w:line="360" w:lineRule="auto"/>
        <w:jc w:val="both"/>
        <w:rPr>
          <w:noProof/>
        </w:rPr>
      </w:pPr>
    </w:p>
    <w:p w14:paraId="2118C9D0" w14:textId="77777777" w:rsidR="00B81FF9" w:rsidRDefault="00B81FF9" w:rsidP="00C57BA2">
      <w:pPr>
        <w:spacing w:line="360" w:lineRule="auto"/>
        <w:jc w:val="both"/>
        <w:rPr>
          <w:noProof/>
        </w:rPr>
      </w:pPr>
    </w:p>
    <w:p w14:paraId="3D6BDFE0" w14:textId="77777777" w:rsidR="00B81FF9" w:rsidRDefault="00B81FF9" w:rsidP="00C57BA2">
      <w:pPr>
        <w:spacing w:line="360" w:lineRule="auto"/>
        <w:jc w:val="both"/>
        <w:rPr>
          <w:noProof/>
        </w:rPr>
      </w:pPr>
    </w:p>
    <w:p w14:paraId="4C9A03BA" w14:textId="77777777" w:rsidR="000746D7" w:rsidRDefault="000746D7" w:rsidP="00C57BA2">
      <w:pPr>
        <w:spacing w:line="360" w:lineRule="auto"/>
        <w:jc w:val="both"/>
        <w:rPr>
          <w:noProof/>
        </w:rPr>
      </w:pPr>
    </w:p>
    <w:p w14:paraId="39CA777E" w14:textId="54654878" w:rsidR="00C57BA2" w:rsidRPr="00B951BF" w:rsidRDefault="00C57BA2" w:rsidP="00C57BA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951BF">
        <w:rPr>
          <w:rFonts w:ascii="Times New Roman" w:hAnsi="Times New Roman" w:cs="Times New Roman"/>
          <w:b/>
          <w:bCs/>
          <w:i/>
          <w:iCs/>
        </w:rPr>
        <w:lastRenderedPageBreak/>
        <w:t xml:space="preserve">Rezumat </w:t>
      </w:r>
    </w:p>
    <w:p w14:paraId="2756EA07" w14:textId="77777777" w:rsidR="00C57BA2" w:rsidRPr="00B951BF" w:rsidRDefault="00C57BA2" w:rsidP="00C57B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51BF">
        <w:rPr>
          <w:rFonts w:ascii="Times New Roman" w:hAnsi="Times New Roman" w:cs="Times New Roman"/>
          <w:color w:val="000000" w:themeColor="text1"/>
        </w:rPr>
        <w:t>Teza de doctorat intitulată „Binomul energie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951BF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951BF">
        <w:rPr>
          <w:rFonts w:ascii="Times New Roman" w:hAnsi="Times New Roman" w:cs="Times New Roman"/>
          <w:color w:val="000000" w:themeColor="text1"/>
        </w:rPr>
        <w:t xml:space="preserve">schimbări climatice și tranziția spre sursele regenerabile de energie la nivelul Uniunii Europene” este structurată în </w:t>
      </w:r>
      <w:r>
        <w:rPr>
          <w:rFonts w:ascii="Times New Roman" w:hAnsi="Times New Roman" w:cs="Times New Roman"/>
          <w:color w:val="000000" w:themeColor="text1"/>
        </w:rPr>
        <w:t>patru</w:t>
      </w:r>
      <w:r w:rsidRPr="00B951BF">
        <w:rPr>
          <w:rFonts w:ascii="Times New Roman" w:hAnsi="Times New Roman" w:cs="Times New Roman"/>
          <w:color w:val="000000" w:themeColor="text1"/>
        </w:rPr>
        <w:t xml:space="preserve"> capitole, în plus față de introducere, propuneri și recomandări în urma cercetării</w:t>
      </w:r>
      <w:r>
        <w:rPr>
          <w:rFonts w:ascii="Times New Roman" w:hAnsi="Times New Roman" w:cs="Times New Roman"/>
          <w:color w:val="000000" w:themeColor="text1"/>
        </w:rPr>
        <w:t xml:space="preserve">, urmate de </w:t>
      </w:r>
      <w:r w:rsidRPr="00B951BF">
        <w:rPr>
          <w:rFonts w:ascii="Times New Roman" w:hAnsi="Times New Roman" w:cs="Times New Roman"/>
          <w:color w:val="000000" w:themeColor="text1"/>
        </w:rPr>
        <w:t xml:space="preserve">concluziile finale. </w:t>
      </w:r>
    </w:p>
    <w:p w14:paraId="4C5CCC6F" w14:textId="77777777" w:rsidR="00C57BA2" w:rsidRPr="00B951BF" w:rsidRDefault="00C57BA2" w:rsidP="00C57B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51BF">
        <w:rPr>
          <w:rFonts w:ascii="Times New Roman" w:hAnsi="Times New Roman" w:cs="Times New Roman"/>
          <w:color w:val="000000" w:themeColor="text1"/>
        </w:rPr>
        <w:t>Această lucrare explorează tranziția energetică către surse regenerabile, având ca principal obiectiv analiza multi-nivel și multi-parametru a tabloului energetic global și a impactului acestuia asupra economiei și societății. Cercetarea s-a concentrat pe evaluarea principalelor provocări și oportunități ale procesului de decarbonizare, incluzând aspecte legate de digitalizare, inovare, competitivitate economică și echitate socială. Printr-o analiză comparativă a tranziției energetice în Uniunea Europeană și România, utilizând metode statistice avansate, studiul a evidențiat diferențele în ritmul de adoptare a energiilor regenerabile, evidențiind importanța unui cadru legislativ stabil și a investițiilor în infrastructură. Rezultatele obținute confirmă necesitatea unor politici publice coerente, mecanisme de finanțare inovatoare și dezvoltarea forței de muncă specializate pentru a accelera tranziția energetică. Cercetarea subliniază, de asemenea, rolul tehnologiilor emergente, precum inteligența artificială și blockchain-ul, în optimizarea proceselor și eficientizarea utilizării resurselor. Concluziile studiului oferă o perspectivă asupra măsurilor esențiale pentru atingerea obiectivelor climatice globale și pentru consolidarea unui model economic sustenabil, bazat pe energie curată și eficientă.</w:t>
      </w:r>
    </w:p>
    <w:p w14:paraId="1F1B9984" w14:textId="77777777" w:rsidR="00C57BA2" w:rsidRPr="00B951BF" w:rsidRDefault="00C57BA2" w:rsidP="00C57BA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51BF">
        <w:rPr>
          <w:rFonts w:ascii="Times New Roman" w:hAnsi="Times New Roman" w:cs="Times New Roman"/>
          <w:b/>
          <w:bCs/>
          <w:i/>
          <w:iCs/>
          <w:color w:val="000000" w:themeColor="text1"/>
        </w:rPr>
        <w:t>Cuvinte cheie:</w:t>
      </w:r>
      <w:r w:rsidRPr="00B951BF">
        <w:rPr>
          <w:rFonts w:ascii="Times New Roman" w:hAnsi="Times New Roman" w:cs="Times New Roman"/>
          <w:color w:val="000000" w:themeColor="text1"/>
        </w:rPr>
        <w:t xml:space="preserve"> schimbări climatice, energie regenerabilă, tranziție, riscuri, oportunități, competitivitate, abordări legislative, Uniunea Europeană, România.</w:t>
      </w:r>
    </w:p>
    <w:p w14:paraId="517E5D94" w14:textId="294FE2DD" w:rsidR="00C57BA2" w:rsidRPr="00C57BA2" w:rsidRDefault="00C57BA2" w:rsidP="00C57BA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C57BA2" w:rsidRPr="00C57BA2" w:rsidSect="00C57BA2">
      <w:pgSz w:w="12240" w:h="15840" w:code="1"/>
      <w:pgMar w:top="1418" w:right="1418" w:bottom="1418" w:left="1418" w:header="454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A2"/>
    <w:rsid w:val="000746D7"/>
    <w:rsid w:val="000B2425"/>
    <w:rsid w:val="001D4995"/>
    <w:rsid w:val="0029268F"/>
    <w:rsid w:val="002A1008"/>
    <w:rsid w:val="003043F8"/>
    <w:rsid w:val="00376213"/>
    <w:rsid w:val="0040476B"/>
    <w:rsid w:val="0048787C"/>
    <w:rsid w:val="004D7C90"/>
    <w:rsid w:val="005E3B23"/>
    <w:rsid w:val="007A6883"/>
    <w:rsid w:val="008909C2"/>
    <w:rsid w:val="009111E7"/>
    <w:rsid w:val="00AA2D85"/>
    <w:rsid w:val="00AF50EF"/>
    <w:rsid w:val="00B21F2F"/>
    <w:rsid w:val="00B25377"/>
    <w:rsid w:val="00B81FF9"/>
    <w:rsid w:val="00BD2DF7"/>
    <w:rsid w:val="00C57BA2"/>
    <w:rsid w:val="00CB74E5"/>
    <w:rsid w:val="00CB75EC"/>
    <w:rsid w:val="00D763BE"/>
    <w:rsid w:val="00F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80EDC3"/>
  <w15:chartTrackingRefBased/>
  <w15:docId w15:val="{E6179BFC-F82D-D74D-B60D-03BE09E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A2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57BA2"/>
  </w:style>
  <w:style w:type="character" w:styleId="Hyperlink">
    <w:name w:val="Hyperlink"/>
    <w:basedOn w:val="DefaultParagraphFont"/>
    <w:uiPriority w:val="99"/>
    <w:unhideWhenUsed/>
    <w:rsid w:val="00C57BA2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57BA2"/>
    <w:pPr>
      <w:spacing w:before="480" w:after="0" w:line="276" w:lineRule="auto"/>
      <w:outlineLvl w:val="9"/>
    </w:pPr>
    <w:rPr>
      <w:b/>
      <w:bCs/>
      <w:smallCap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7BA2"/>
    <w:pPr>
      <w:spacing w:before="120" w:after="0" w:line="259" w:lineRule="auto"/>
    </w:pPr>
    <w:rPr>
      <w:rFonts w:cstheme="minorHAnsi"/>
      <w:b/>
      <w:bCs/>
      <w:i/>
      <w:iCs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C57BA2"/>
    <w:pPr>
      <w:spacing w:before="120" w:after="0" w:line="259" w:lineRule="auto"/>
      <w:ind w:left="220"/>
    </w:pPr>
    <w:rPr>
      <w:rFonts w:cstheme="minorHAnsi"/>
      <w:b/>
      <w:bCs/>
      <w:sz w:val="22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C57BA2"/>
    <w:pPr>
      <w:spacing w:after="0" w:line="259" w:lineRule="auto"/>
      <w:ind w:left="440"/>
    </w:pPr>
    <w:rPr>
      <w:rFonts w:cstheme="minorHAnsi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7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CHI?U Florentina</dc:creator>
  <cp:keywords/>
  <dc:description/>
  <cp:lastModifiedBy>CHI?U Florentina</cp:lastModifiedBy>
  <cp:revision>11</cp:revision>
  <cp:lastPrinted>2025-05-16T08:27:00Z</cp:lastPrinted>
  <dcterms:created xsi:type="dcterms:W3CDTF">2025-05-16T06:47:00Z</dcterms:created>
  <dcterms:modified xsi:type="dcterms:W3CDTF">2025-05-16T08:27:00Z</dcterms:modified>
</cp:coreProperties>
</file>